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5741CA">
        <w:rPr>
          <w:b/>
          <w:sz w:val="40"/>
        </w:rPr>
        <w:t>___</w:t>
      </w:r>
    </w:p>
    <w:tbl>
      <w:tblPr>
        <w:tblW w:w="9534" w:type="dxa"/>
        <w:tblLook w:val="01E0"/>
      </w:tblPr>
      <w:tblGrid>
        <w:gridCol w:w="4450"/>
        <w:gridCol w:w="5084"/>
      </w:tblGrid>
      <w:tr w:rsidR="001B6030" w:rsidRPr="00AF393B" w:rsidTr="00E051D6">
        <w:trPr>
          <w:trHeight w:val="346"/>
        </w:trPr>
        <w:tc>
          <w:tcPr>
            <w:tcW w:w="4450" w:type="dxa"/>
            <w:shd w:val="clear" w:color="auto" w:fill="auto"/>
          </w:tcPr>
          <w:p w:rsidR="001B6030" w:rsidRPr="00AF393B" w:rsidRDefault="005741CA" w:rsidP="005741CA">
            <w:pPr>
              <w:rPr>
                <w:b/>
                <w:sz w:val="28"/>
                <w:szCs w:val="28"/>
              </w:rPr>
            </w:pPr>
            <w:r>
              <w:rPr>
                <w:b/>
                <w:sz w:val="28"/>
                <w:szCs w:val="28"/>
              </w:rPr>
              <w:t>__</w:t>
            </w:r>
            <w:r w:rsidR="001C5C2C">
              <w:rPr>
                <w:b/>
                <w:sz w:val="28"/>
                <w:szCs w:val="28"/>
              </w:rPr>
              <w:t>.</w:t>
            </w:r>
            <w:r>
              <w:rPr>
                <w:b/>
                <w:sz w:val="28"/>
                <w:szCs w:val="28"/>
              </w:rPr>
              <w:t>02</w:t>
            </w:r>
            <w:r w:rsidR="001B6030" w:rsidRPr="00AF393B">
              <w:rPr>
                <w:b/>
                <w:sz w:val="28"/>
                <w:szCs w:val="28"/>
              </w:rPr>
              <w:t>.20</w:t>
            </w:r>
            <w:r w:rsidR="00D57709">
              <w:rPr>
                <w:b/>
                <w:sz w:val="28"/>
                <w:szCs w:val="28"/>
              </w:rPr>
              <w:t>2</w:t>
            </w:r>
            <w:r>
              <w:rPr>
                <w:b/>
                <w:sz w:val="28"/>
                <w:szCs w:val="28"/>
              </w:rPr>
              <w:t>2</w:t>
            </w:r>
          </w:p>
        </w:tc>
        <w:tc>
          <w:tcPr>
            <w:tcW w:w="5084"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5741CA">
        <w:rPr>
          <w:sz w:val="28"/>
        </w:rPr>
        <w:t>__</w:t>
      </w:r>
      <w:r w:rsidR="00A4174D">
        <w:rPr>
          <w:sz w:val="28"/>
        </w:rPr>
        <w:t>.</w:t>
      </w:r>
      <w:r w:rsidR="005741CA">
        <w:rPr>
          <w:sz w:val="28"/>
        </w:rPr>
        <w:t>02</w:t>
      </w:r>
      <w:r w:rsidR="00A4174D">
        <w:rPr>
          <w:sz w:val="28"/>
        </w:rPr>
        <w:t>.20</w:t>
      </w:r>
      <w:r w:rsidR="00D57709">
        <w:rPr>
          <w:sz w:val="28"/>
        </w:rPr>
        <w:t>2</w:t>
      </w:r>
      <w:r w:rsidR="005741CA">
        <w:rPr>
          <w:sz w:val="28"/>
        </w:rPr>
        <w:t>2</w:t>
      </w:r>
      <w:r w:rsidR="00A4174D">
        <w:rPr>
          <w:sz w:val="28"/>
        </w:rPr>
        <w:t xml:space="preserve"> </w:t>
      </w:r>
      <w:r w:rsidRPr="000F3274">
        <w:rPr>
          <w:sz w:val="28"/>
        </w:rPr>
        <w:t xml:space="preserve">№ </w:t>
      </w:r>
      <w:r w:rsidR="005741CA">
        <w:rPr>
          <w:sz w:val="28"/>
        </w:rPr>
        <w:t>__</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A6190C">
              <w:rPr>
                <w:kern w:val="2"/>
                <w:sz w:val="28"/>
                <w:szCs w:val="28"/>
              </w:rPr>
              <w:t>4</w:t>
            </w:r>
            <w:r w:rsidR="008472B5">
              <w:rPr>
                <w:kern w:val="2"/>
                <w:sz w:val="28"/>
                <w:szCs w:val="28"/>
              </w:rPr>
              <w:t>8</w:t>
            </w:r>
            <w:r w:rsidR="005741CA">
              <w:rPr>
                <w:kern w:val="2"/>
                <w:sz w:val="28"/>
                <w:szCs w:val="28"/>
              </w:rPr>
              <w:t>8,3</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36,4</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5741CA">
              <w:rPr>
                <w:kern w:val="2"/>
                <w:sz w:val="28"/>
                <w:szCs w:val="28"/>
              </w:rPr>
              <w:t>26,4</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5741CA">
              <w:rPr>
                <w:kern w:val="2"/>
                <w:sz w:val="28"/>
                <w:szCs w:val="28"/>
              </w:rPr>
              <w:t>26,4</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A6190C">
              <w:rPr>
                <w:kern w:val="2"/>
                <w:sz w:val="28"/>
                <w:szCs w:val="28"/>
              </w:rPr>
              <w:t>4</w:t>
            </w:r>
            <w:r w:rsidR="008472B5">
              <w:rPr>
                <w:kern w:val="2"/>
                <w:sz w:val="28"/>
                <w:szCs w:val="28"/>
              </w:rPr>
              <w:t>8</w:t>
            </w:r>
            <w:r w:rsidR="004569F8">
              <w:rPr>
                <w:kern w:val="2"/>
                <w:sz w:val="28"/>
                <w:szCs w:val="28"/>
              </w:rPr>
              <w:t>8,3</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36,4</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4569F8">
              <w:rPr>
                <w:kern w:val="2"/>
                <w:sz w:val="28"/>
                <w:szCs w:val="28"/>
              </w:rPr>
              <w:t>26,4</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4569F8">
              <w:rPr>
                <w:kern w:val="2"/>
                <w:sz w:val="28"/>
                <w:szCs w:val="28"/>
              </w:rPr>
              <w:t>26,4</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051E8D">
            <w:pPr>
              <w:autoSpaceDE w:val="0"/>
              <w:autoSpaceDN w:val="0"/>
              <w:adjustRightInd w:val="0"/>
              <w:jc w:val="center"/>
              <w:rPr>
                <w:bCs/>
                <w:kern w:val="2"/>
                <w:sz w:val="24"/>
                <w:szCs w:val="24"/>
              </w:rPr>
            </w:pPr>
            <w:r>
              <w:rPr>
                <w:bCs/>
                <w:kern w:val="2"/>
                <w:sz w:val="24"/>
                <w:szCs w:val="24"/>
              </w:rPr>
              <w:t>4</w:t>
            </w:r>
            <w:r w:rsidR="00E52071">
              <w:rPr>
                <w:bCs/>
                <w:kern w:val="2"/>
                <w:sz w:val="24"/>
                <w:szCs w:val="24"/>
              </w:rPr>
              <w:t>8</w:t>
            </w:r>
            <w:r w:rsidR="00051E8D">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5D312E">
            <w:pPr>
              <w:autoSpaceDE w:val="0"/>
              <w:autoSpaceDN w:val="0"/>
              <w:adjustRightInd w:val="0"/>
              <w:jc w:val="center"/>
              <w:rPr>
                <w:bCs/>
                <w:kern w:val="2"/>
                <w:sz w:val="24"/>
                <w:szCs w:val="24"/>
              </w:rPr>
            </w:pPr>
            <w:r>
              <w:rPr>
                <w:bCs/>
                <w:kern w:val="2"/>
                <w:sz w:val="24"/>
                <w:szCs w:val="24"/>
              </w:rPr>
              <w:t>4</w:t>
            </w:r>
            <w:r w:rsidR="00E52071">
              <w:rPr>
                <w:bCs/>
                <w:kern w:val="2"/>
                <w:sz w:val="24"/>
                <w:szCs w:val="24"/>
              </w:rPr>
              <w:t>8</w:t>
            </w:r>
            <w:r w:rsidR="005D312E">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5D312E" w:rsidP="00DF66D0">
            <w:pPr>
              <w:autoSpaceDE w:val="0"/>
              <w:autoSpaceDN w:val="0"/>
              <w:adjustRightInd w:val="0"/>
              <w:jc w:val="center"/>
              <w:rPr>
                <w:bCs/>
                <w:kern w:val="2"/>
                <w:sz w:val="24"/>
                <w:szCs w:val="24"/>
              </w:rPr>
            </w:pPr>
            <w:r>
              <w:rPr>
                <w:bCs/>
                <w:kern w:val="2"/>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D312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230,7</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A6190C" w:rsidP="005D312E">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w:t>
            </w:r>
            <w:r w:rsidR="005D312E">
              <w:rPr>
                <w:kern w:val="2"/>
                <w:sz w:val="24"/>
                <w:szCs w:val="24"/>
              </w:rPr>
              <w:t>8,3</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5D312E">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w:t>
            </w:r>
            <w:r w:rsidR="005D312E">
              <w:rPr>
                <w:kern w:val="2"/>
                <w:sz w:val="24"/>
                <w:szCs w:val="24"/>
              </w:rPr>
              <w:t>8,3</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DF49FC" w:rsidP="00CB649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5D312E" w:rsidP="005D312E">
            <w:pPr>
              <w:autoSpaceDE w:val="0"/>
              <w:autoSpaceDN w:val="0"/>
              <w:adjustRightInd w:val="0"/>
              <w:spacing w:line="230" w:lineRule="auto"/>
              <w:jc w:val="center"/>
              <w:rPr>
                <w:kern w:val="2"/>
                <w:sz w:val="24"/>
                <w:szCs w:val="24"/>
              </w:rPr>
            </w:pPr>
            <w:r>
              <w:rPr>
                <w:kern w:val="2"/>
                <w:sz w:val="24"/>
                <w:szCs w:val="24"/>
              </w:rPr>
              <w:t>488,3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5D312E"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5D312E" w:rsidP="005D312E">
            <w:pPr>
              <w:autoSpaceDE w:val="0"/>
              <w:autoSpaceDN w:val="0"/>
              <w:adjustRightInd w:val="0"/>
              <w:spacing w:line="230" w:lineRule="auto"/>
              <w:jc w:val="center"/>
              <w:rPr>
                <w:kern w:val="2"/>
                <w:sz w:val="24"/>
                <w:szCs w:val="24"/>
              </w:rPr>
            </w:pPr>
            <w:r>
              <w:rPr>
                <w:kern w:val="2"/>
                <w:sz w:val="24"/>
                <w:szCs w:val="24"/>
              </w:rPr>
              <w:t>488,3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ABF" w:rsidRDefault="008A3ABF">
      <w:r>
        <w:separator/>
      </w:r>
    </w:p>
  </w:endnote>
  <w:endnote w:type="continuationSeparator" w:id="1">
    <w:p w:rsidR="008A3ABF" w:rsidRDefault="008A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52974" w:rsidP="001B6030">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end"/>
    </w:r>
  </w:p>
  <w:p w:rsidR="00E46EF3" w:rsidRDefault="00E46EF3"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52974" w:rsidP="001B6030">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051E8D">
      <w:rPr>
        <w:rStyle w:val="aa"/>
        <w:noProof/>
      </w:rPr>
      <w:t>3</w:t>
    </w:r>
    <w:r>
      <w:rPr>
        <w:rStyle w:val="aa"/>
      </w:rPr>
      <w:fldChar w:fldCharType="end"/>
    </w:r>
  </w:p>
  <w:p w:rsidR="00E46EF3" w:rsidRPr="00670060" w:rsidRDefault="00E46EF3"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52974" w:rsidP="00827EF4">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5741CA">
      <w:rPr>
        <w:rStyle w:val="aa"/>
        <w:noProof/>
      </w:rPr>
      <w:t>1</w:t>
    </w:r>
    <w:r>
      <w:rPr>
        <w:rStyle w:val="aa"/>
      </w:rPr>
      <w:fldChar w:fldCharType="end"/>
    </w:r>
  </w:p>
  <w:p w:rsidR="00E46EF3" w:rsidRPr="00670060" w:rsidRDefault="00E46EF3"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52974" w:rsidP="00D00358">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end"/>
    </w:r>
  </w:p>
  <w:p w:rsidR="00E46EF3" w:rsidRDefault="00E46EF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E52974" w:rsidP="00D00358">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5D312E">
      <w:rPr>
        <w:rStyle w:val="aa"/>
        <w:noProof/>
      </w:rPr>
      <w:t>8</w:t>
    </w:r>
    <w:r>
      <w:rPr>
        <w:rStyle w:val="aa"/>
      </w:rPr>
      <w:fldChar w:fldCharType="end"/>
    </w:r>
  </w:p>
  <w:p w:rsidR="00E46EF3" w:rsidRPr="00670060" w:rsidRDefault="00E46EF3"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ABF" w:rsidRDefault="008A3ABF">
      <w:r>
        <w:separator/>
      </w:r>
    </w:p>
  </w:footnote>
  <w:footnote w:type="continuationSeparator" w:id="1">
    <w:p w:rsidR="008A3ABF" w:rsidRDefault="008A3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45BA8"/>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569F8"/>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41CA"/>
    <w:rsid w:val="005759DD"/>
    <w:rsid w:val="00576426"/>
    <w:rsid w:val="00587BF6"/>
    <w:rsid w:val="00593BFA"/>
    <w:rsid w:val="00595283"/>
    <w:rsid w:val="005956A5"/>
    <w:rsid w:val="005A4BAA"/>
    <w:rsid w:val="005A5D87"/>
    <w:rsid w:val="005B5717"/>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662D"/>
    <w:rsid w:val="00687D01"/>
    <w:rsid w:val="00695202"/>
    <w:rsid w:val="006A31A5"/>
    <w:rsid w:val="006B31E2"/>
    <w:rsid w:val="006B3D5A"/>
    <w:rsid w:val="006C075F"/>
    <w:rsid w:val="006C548B"/>
    <w:rsid w:val="006D094D"/>
    <w:rsid w:val="006D3720"/>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49B9"/>
    <w:rsid w:val="00827EF4"/>
    <w:rsid w:val="008438D7"/>
    <w:rsid w:val="008472B5"/>
    <w:rsid w:val="0085191D"/>
    <w:rsid w:val="00853B7D"/>
    <w:rsid w:val="00855044"/>
    <w:rsid w:val="00860E5A"/>
    <w:rsid w:val="00865C9A"/>
    <w:rsid w:val="00867AB6"/>
    <w:rsid w:val="00881A75"/>
    <w:rsid w:val="00884507"/>
    <w:rsid w:val="008867B2"/>
    <w:rsid w:val="008A26EE"/>
    <w:rsid w:val="008A3ABF"/>
    <w:rsid w:val="008B0185"/>
    <w:rsid w:val="008B37E0"/>
    <w:rsid w:val="008B627C"/>
    <w:rsid w:val="008B6A3C"/>
    <w:rsid w:val="008B6AD3"/>
    <w:rsid w:val="008C13B2"/>
    <w:rsid w:val="008D3BEA"/>
    <w:rsid w:val="008D5E74"/>
    <w:rsid w:val="008E20E4"/>
    <w:rsid w:val="008F03CF"/>
    <w:rsid w:val="008F0CD2"/>
    <w:rsid w:val="008F15EF"/>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23B4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50C1"/>
    <w:rsid w:val="00DF49FC"/>
    <w:rsid w:val="00DF66D0"/>
    <w:rsid w:val="00E00DAC"/>
    <w:rsid w:val="00E04378"/>
    <w:rsid w:val="00E051D6"/>
    <w:rsid w:val="00E07D81"/>
    <w:rsid w:val="00E135EF"/>
    <w:rsid w:val="00E138E0"/>
    <w:rsid w:val="00E14FE7"/>
    <w:rsid w:val="00E252DB"/>
    <w:rsid w:val="00E3132E"/>
    <w:rsid w:val="00E31878"/>
    <w:rsid w:val="00E36EA0"/>
    <w:rsid w:val="00E46EF3"/>
    <w:rsid w:val="00E50D1B"/>
    <w:rsid w:val="00E52071"/>
    <w:rsid w:val="00E52974"/>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97B"/>
    <w:rsid w:val="00F965D8"/>
    <w:rsid w:val="00FA08C6"/>
    <w:rsid w:val="00FA3A7B"/>
    <w:rsid w:val="00FA6611"/>
    <w:rsid w:val="00FB7783"/>
    <w:rsid w:val="00FC1DE0"/>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5817-1F11-4C35-9E44-935A22C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2035</TotalTime>
  <Pages>8</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64</cp:revision>
  <cp:lastPrinted>2021-03-15T10:37:00Z</cp:lastPrinted>
  <dcterms:created xsi:type="dcterms:W3CDTF">2018-11-01T10:31:00Z</dcterms:created>
  <dcterms:modified xsi:type="dcterms:W3CDTF">2022-02-02T12:06:00Z</dcterms:modified>
</cp:coreProperties>
</file>